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1068" w:rsidRDefault="004175D6">
      <w:pPr>
        <w:spacing w:line="560" w:lineRule="exact"/>
        <w:jc w:val="center"/>
        <w:rPr>
          <w:rFonts w:asciiTheme="majorEastAsia" w:eastAsiaTheme="majorEastAsia" w:hAnsiTheme="majorEastAsia"/>
          <w:sz w:val="44"/>
          <w:szCs w:val="44"/>
        </w:rPr>
      </w:pPr>
      <w:r>
        <w:rPr>
          <w:rFonts w:asciiTheme="majorEastAsia" w:eastAsiaTheme="majorEastAsia" w:hAnsiTheme="majorEastAsia" w:hint="eastAsia"/>
          <w:sz w:val="44"/>
          <w:szCs w:val="44"/>
        </w:rPr>
        <w:t>山东交运天宇国际贸易有限公司</w:t>
      </w:r>
    </w:p>
    <w:p w:rsidR="00A71068" w:rsidRDefault="004175D6">
      <w:pPr>
        <w:spacing w:line="560" w:lineRule="exact"/>
        <w:jc w:val="center"/>
        <w:rPr>
          <w:rFonts w:asciiTheme="majorEastAsia" w:eastAsiaTheme="majorEastAsia" w:hAnsiTheme="majorEastAsia"/>
          <w:sz w:val="44"/>
          <w:szCs w:val="44"/>
        </w:rPr>
      </w:pPr>
      <w:r>
        <w:rPr>
          <w:rFonts w:asciiTheme="majorEastAsia" w:eastAsiaTheme="majorEastAsia" w:hAnsiTheme="majorEastAsia" w:hint="eastAsia"/>
          <w:sz w:val="44"/>
          <w:szCs w:val="44"/>
        </w:rPr>
        <w:t>2022年信息</w:t>
      </w:r>
      <w:r w:rsidR="00916FC4">
        <w:rPr>
          <w:rFonts w:asciiTheme="majorEastAsia" w:eastAsiaTheme="majorEastAsia" w:hAnsiTheme="majorEastAsia" w:hint="eastAsia"/>
          <w:sz w:val="44"/>
          <w:szCs w:val="44"/>
        </w:rPr>
        <w:t>公告</w:t>
      </w:r>
    </w:p>
    <w:p w:rsidR="00A71068" w:rsidRDefault="00A71068">
      <w:pPr>
        <w:spacing w:line="560" w:lineRule="exact"/>
        <w:rPr>
          <w:sz w:val="32"/>
          <w:szCs w:val="32"/>
        </w:rPr>
      </w:pPr>
    </w:p>
    <w:p w:rsidR="00A71068" w:rsidRDefault="004175D6">
      <w:pPr>
        <w:spacing w:line="560" w:lineRule="exact"/>
        <w:ind w:firstLineChars="200" w:firstLine="64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 xml:space="preserve">一、公司基本信息 </w:t>
      </w:r>
    </w:p>
    <w:p w:rsidR="00A71068" w:rsidRDefault="004175D6">
      <w:pPr>
        <w:spacing w:line="560" w:lineRule="exact"/>
        <w:ind w:firstLineChars="200" w:firstLine="640"/>
        <w:rPr>
          <w:rFonts w:ascii="楷体_GB2312" w:eastAsia="楷体_GB2312"/>
          <w:sz w:val="32"/>
          <w:szCs w:val="32"/>
        </w:rPr>
      </w:pPr>
      <w:r>
        <w:rPr>
          <w:rFonts w:ascii="楷体_GB2312" w:eastAsia="楷体_GB2312" w:hint="eastAsia"/>
          <w:sz w:val="32"/>
          <w:szCs w:val="32"/>
        </w:rPr>
        <w:t xml:space="preserve">（一）公司基本情况 </w:t>
      </w:r>
    </w:p>
    <w:p w:rsidR="00A71068" w:rsidRDefault="004175D6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公司名称：山东交运天宇国际贸易有限公司</w:t>
      </w:r>
    </w:p>
    <w:p w:rsidR="00A71068" w:rsidRDefault="004175D6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法定代表人：王云利</w:t>
      </w:r>
    </w:p>
    <w:p w:rsidR="00A71068" w:rsidRDefault="004175D6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统一社会信用代码：91370202MA3EM0QT84</w:t>
      </w:r>
    </w:p>
    <w:p w:rsidR="00A71068" w:rsidRDefault="004175D6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注册资本：壹亿元整</w:t>
      </w:r>
    </w:p>
    <w:p w:rsidR="00A71068" w:rsidRDefault="004175D6">
      <w:pPr>
        <w:spacing w:line="560" w:lineRule="exact"/>
        <w:ind w:firstLineChars="200" w:firstLine="640"/>
        <w:rPr>
          <w:rFonts w:ascii="仿宋_GB2312" w:eastAsia="仿宋_GB2312" w:hAnsi="仿宋_GB2312" w:cs="仿宋_GB2312"/>
          <w:spacing w:val="-20"/>
          <w:kern w:val="10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注册地址：</w:t>
      </w:r>
      <w:r>
        <w:rPr>
          <w:rFonts w:ascii="仿宋_GB2312" w:eastAsia="仿宋_GB2312" w:hAnsi="仿宋_GB2312" w:cs="仿宋_GB2312" w:hint="eastAsia"/>
          <w:spacing w:val="-20"/>
          <w:kern w:val="10"/>
          <w:sz w:val="32"/>
          <w:szCs w:val="32"/>
        </w:rPr>
        <w:t>山东省济南市历城区华信路3号历城金融大厦1106-3</w:t>
      </w:r>
    </w:p>
    <w:p w:rsidR="00A71068" w:rsidRDefault="004175D6">
      <w:pPr>
        <w:widowControl/>
        <w:shd w:val="clear" w:color="auto" w:fill="FFFFFF"/>
        <w:spacing w:line="560" w:lineRule="exact"/>
        <w:ind w:firstLineChars="200" w:firstLine="640"/>
        <w:rPr>
          <w:rFonts w:ascii="仿宋_GB2312" w:eastAsia="仿宋_GB2312" w:hAnsi="仿宋_GB2312" w:cs="仿宋_GB2312"/>
          <w:kern w:val="0"/>
          <w:sz w:val="32"/>
          <w:szCs w:val="32"/>
          <w:shd w:val="clear" w:color="auto" w:fill="FFFFFF"/>
          <w:lang w:bidi="ar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经营范围：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  <w:shd w:val="clear" w:color="auto" w:fill="FFFFFF"/>
          <w:lang w:bidi="ar"/>
        </w:rPr>
        <w:t>许可项目：危险化学品经营；第三类医疗器械经营；道路货物运输（不含危险货物）。（依法须经批准的项目，经相关部门 批准后方可开展经营活动，具体经营项目 以相关部门批准文件或许可证件为准）一般项目：货物进出口；技术进出口；非金属矿及制品销售；金属材料销售；金属矿石销售；煤炭及制品销售；橡胶制品销 售；石油制品销售（不含危险化学品）；国内贸易代理；塑料制品销售；机械设备销售；金属制品销售；通讯设备销售；化工产品销售（不含许可类化工产品）；家用电器销售；农副产品销售；建筑材料销售； 劳动保护用品销售；计算机软硬件及辅助 设备零售；五金产品零售；日用百货销售；珠宝首饰批发；化妆品批发；水产品批发；食用农产品批发；食用农产品零售；畜牧渔业饲料销售；鲜肉零售；鲜肉批发；针纺织品销售；文具用品批发；体育用品及器材批发；玩具、</w:t>
      </w:r>
      <w:proofErr w:type="gramStart"/>
      <w:r>
        <w:rPr>
          <w:rFonts w:ascii="仿宋_GB2312" w:eastAsia="仿宋_GB2312" w:hAnsi="仿宋_GB2312" w:cs="仿宋_GB2312" w:hint="eastAsia"/>
          <w:kern w:val="0"/>
          <w:sz w:val="32"/>
          <w:szCs w:val="32"/>
          <w:shd w:val="clear" w:color="auto" w:fill="FFFFFF"/>
          <w:lang w:bidi="ar"/>
        </w:rPr>
        <w:t>动漫及</w:t>
      </w:r>
      <w:proofErr w:type="gramEnd"/>
      <w:r>
        <w:rPr>
          <w:rFonts w:ascii="仿宋_GB2312" w:eastAsia="仿宋_GB2312" w:hAnsi="仿宋_GB2312" w:cs="仿宋_GB2312" w:hint="eastAsia"/>
          <w:kern w:val="0"/>
          <w:sz w:val="32"/>
          <w:szCs w:val="32"/>
          <w:shd w:val="clear" w:color="auto" w:fill="FFFFFF"/>
          <w:lang w:bidi="ar"/>
        </w:rPr>
        <w:t>游艺用品销售；摩托车及零配件批发；日用品批发；消防器材销售；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  <w:shd w:val="clear" w:color="auto" w:fill="FFFFFF"/>
          <w:lang w:bidi="ar"/>
        </w:rPr>
        <w:lastRenderedPageBreak/>
        <w:t>第一类医疗器械销售；第二类医疗器械销售；汽车零配件批发；新能源汽车整车销售；新能源汽车电附件销售；汽车新车销售；肥料销售；国 内船舶代理；商务代理代办服务；物业管理；信息咨询服务（不含许可类信息咨询服务）；房地产经纪；食品销售（仅销售预包装食品）；普通货物仓储服务（不含危险化学品等需许可审批的项目）；国际货物运输代理；国内货物运输代理。（除依法须经批准的项目外，凭营业执照依法自主开展经营活动）。</w:t>
      </w:r>
    </w:p>
    <w:p w:rsidR="00A71068" w:rsidRDefault="004175D6" w:rsidP="00916FC4">
      <w:pPr>
        <w:widowControl/>
        <w:shd w:val="clear" w:color="auto" w:fill="FFFFFF"/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办公地址：济南市高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新区舜华路2000号舜泰广场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2号楼2层202室</w:t>
      </w:r>
    </w:p>
    <w:p w:rsidR="00A71068" w:rsidRDefault="004175D6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邮政编码：250000</w:t>
      </w:r>
    </w:p>
    <w:p w:rsidR="00A71068" w:rsidRDefault="004175D6">
      <w:pPr>
        <w:spacing w:line="560" w:lineRule="exact"/>
        <w:ind w:firstLineChars="200" w:firstLine="640"/>
        <w:rPr>
          <w:rFonts w:ascii="楷体_GB2312" w:eastAsia="楷体_GB2312" w:hAnsi="楷体_GB2312" w:cs="楷体_GB2312"/>
          <w:sz w:val="32"/>
          <w:szCs w:val="32"/>
        </w:rPr>
      </w:pPr>
      <w:r>
        <w:rPr>
          <w:rFonts w:ascii="楷体_GB2312" w:eastAsia="楷体_GB2312" w:hAnsi="楷体_GB2312" w:cs="楷体_GB2312" w:hint="eastAsia"/>
          <w:sz w:val="32"/>
          <w:szCs w:val="32"/>
        </w:rPr>
        <w:t>（二）公司简介</w:t>
      </w:r>
    </w:p>
    <w:p w:rsidR="00A71068" w:rsidRDefault="004175D6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公司股东：山东省交通运输集团有限公司</w:t>
      </w:r>
    </w:p>
    <w:p w:rsidR="00A71068" w:rsidRDefault="00916FC4" w:rsidP="00916FC4">
      <w:pPr>
        <w:spacing w:line="560" w:lineRule="exact"/>
        <w:ind w:firstLineChars="200" w:firstLine="420"/>
        <w:rPr>
          <w:rFonts w:ascii="仿宋_GB2312" w:eastAsia="仿宋_GB2312" w:hAnsi="仿宋_GB2312" w:cs="仿宋_GB2312"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99200" behindDoc="1" locked="0" layoutInCell="1" allowOverlap="1" wp14:anchorId="60C4FBE3" wp14:editId="00000E35">
            <wp:simplePos x="0" y="0"/>
            <wp:positionH relativeFrom="column">
              <wp:posOffset>46990</wp:posOffset>
            </wp:positionH>
            <wp:positionV relativeFrom="paragraph">
              <wp:posOffset>866140</wp:posOffset>
            </wp:positionV>
            <wp:extent cx="3649980" cy="3688715"/>
            <wp:effectExtent l="0" t="0" r="0" b="0"/>
            <wp:wrapTight wrapText="bothSides">
              <wp:wrapPolygon edited="0">
                <wp:start x="0" y="0"/>
                <wp:lineTo x="0" y="21529"/>
                <wp:lineTo x="21532" y="21529"/>
                <wp:lineTo x="21532" y="0"/>
                <wp:lineTo x="0" y="0"/>
              </wp:wrapPolygon>
            </wp:wrapTight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49980" cy="36887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175D6">
        <w:rPr>
          <w:rFonts w:ascii="仿宋_GB2312" w:eastAsia="仿宋_GB2312" w:hAnsi="仿宋_GB2312" w:cs="仿宋_GB2312" w:hint="eastAsia"/>
          <w:sz w:val="32"/>
          <w:szCs w:val="32"/>
        </w:rPr>
        <w:t>出资额：壹亿元</w:t>
      </w:r>
    </w:p>
    <w:p w:rsidR="00A71068" w:rsidRDefault="004175D6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公司治理及管理架构：</w:t>
      </w:r>
    </w:p>
    <w:p w:rsidR="00A71068" w:rsidRDefault="00A71068">
      <w:pPr>
        <w:spacing w:line="560" w:lineRule="exact"/>
        <w:rPr>
          <w:rFonts w:ascii="楷体_GB2312" w:eastAsia="楷体_GB2312"/>
          <w:sz w:val="32"/>
          <w:szCs w:val="32"/>
        </w:rPr>
      </w:pPr>
    </w:p>
    <w:p w:rsidR="00A71068" w:rsidRDefault="00A71068">
      <w:pPr>
        <w:spacing w:line="560" w:lineRule="exact"/>
        <w:rPr>
          <w:rFonts w:ascii="楷体_GB2312" w:eastAsia="楷体_GB2312"/>
          <w:sz w:val="32"/>
          <w:szCs w:val="32"/>
        </w:rPr>
      </w:pPr>
    </w:p>
    <w:p w:rsidR="00A71068" w:rsidRDefault="00A71068">
      <w:pPr>
        <w:spacing w:line="360" w:lineRule="exact"/>
        <w:rPr>
          <w:rFonts w:ascii="仿宋_GB2312" w:eastAsia="仿宋_GB2312"/>
          <w:sz w:val="32"/>
          <w:szCs w:val="32"/>
        </w:rPr>
      </w:pPr>
    </w:p>
    <w:p w:rsidR="00A71068" w:rsidRDefault="00A71068">
      <w:pPr>
        <w:spacing w:line="360" w:lineRule="exact"/>
        <w:rPr>
          <w:rFonts w:ascii="仿宋_GB2312" w:eastAsia="仿宋_GB2312"/>
          <w:sz w:val="32"/>
          <w:szCs w:val="32"/>
        </w:rPr>
      </w:pPr>
    </w:p>
    <w:p w:rsidR="00A71068" w:rsidRDefault="00A71068">
      <w:pPr>
        <w:spacing w:line="360" w:lineRule="exact"/>
        <w:rPr>
          <w:rFonts w:ascii="仿宋_GB2312" w:eastAsia="仿宋_GB2312"/>
          <w:sz w:val="32"/>
          <w:szCs w:val="32"/>
        </w:rPr>
      </w:pPr>
    </w:p>
    <w:p w:rsidR="00A71068" w:rsidRDefault="00A71068">
      <w:pPr>
        <w:spacing w:line="360" w:lineRule="exact"/>
        <w:rPr>
          <w:rFonts w:ascii="仿宋_GB2312" w:eastAsia="仿宋_GB2312"/>
          <w:sz w:val="32"/>
          <w:szCs w:val="32"/>
        </w:rPr>
      </w:pPr>
    </w:p>
    <w:p w:rsidR="00A71068" w:rsidRDefault="00A71068">
      <w:pPr>
        <w:spacing w:line="360" w:lineRule="exact"/>
        <w:rPr>
          <w:rFonts w:ascii="仿宋_GB2312" w:eastAsia="仿宋_GB2312"/>
          <w:sz w:val="32"/>
          <w:szCs w:val="32"/>
        </w:rPr>
      </w:pPr>
    </w:p>
    <w:p w:rsidR="00A71068" w:rsidRDefault="00A71068">
      <w:pPr>
        <w:spacing w:line="360" w:lineRule="exact"/>
        <w:rPr>
          <w:rFonts w:ascii="仿宋_GB2312" w:eastAsia="仿宋_GB2312"/>
          <w:sz w:val="32"/>
          <w:szCs w:val="32"/>
        </w:rPr>
      </w:pPr>
    </w:p>
    <w:p w:rsidR="00A71068" w:rsidRDefault="00A71068">
      <w:pPr>
        <w:spacing w:line="360" w:lineRule="exact"/>
        <w:rPr>
          <w:rFonts w:ascii="仿宋_GB2312" w:eastAsia="仿宋_GB2312"/>
          <w:sz w:val="32"/>
          <w:szCs w:val="32"/>
        </w:rPr>
      </w:pPr>
      <w:bookmarkStart w:id="0" w:name="_GoBack"/>
      <w:bookmarkEnd w:id="0"/>
    </w:p>
    <w:p w:rsidR="00A71068" w:rsidRDefault="00A71068">
      <w:pPr>
        <w:spacing w:line="360" w:lineRule="exact"/>
        <w:rPr>
          <w:rFonts w:ascii="仿宋_GB2312" w:eastAsia="仿宋_GB2312"/>
          <w:sz w:val="32"/>
          <w:szCs w:val="32"/>
        </w:rPr>
      </w:pPr>
    </w:p>
    <w:p w:rsidR="00A71068" w:rsidRDefault="00A71068">
      <w:pPr>
        <w:spacing w:line="360" w:lineRule="exact"/>
        <w:rPr>
          <w:rFonts w:ascii="仿宋_GB2312" w:eastAsia="仿宋_GB2312"/>
          <w:sz w:val="32"/>
          <w:szCs w:val="32"/>
        </w:rPr>
      </w:pPr>
    </w:p>
    <w:p w:rsidR="00A71068" w:rsidRDefault="00A71068">
      <w:pPr>
        <w:spacing w:line="360" w:lineRule="exact"/>
        <w:rPr>
          <w:rFonts w:ascii="仿宋_GB2312" w:eastAsia="仿宋_GB2312"/>
          <w:sz w:val="32"/>
          <w:szCs w:val="32"/>
        </w:rPr>
      </w:pPr>
    </w:p>
    <w:p w:rsidR="00A71068" w:rsidRDefault="00A71068">
      <w:pPr>
        <w:spacing w:line="360" w:lineRule="exact"/>
        <w:rPr>
          <w:rFonts w:ascii="仿宋_GB2312" w:eastAsia="仿宋_GB2312"/>
          <w:sz w:val="32"/>
          <w:szCs w:val="32"/>
        </w:rPr>
      </w:pPr>
    </w:p>
    <w:p w:rsidR="00A71068" w:rsidRDefault="00A71068">
      <w:pPr>
        <w:spacing w:line="360" w:lineRule="exact"/>
        <w:rPr>
          <w:rFonts w:ascii="仿宋_GB2312" w:eastAsia="仿宋_GB2312"/>
          <w:sz w:val="32"/>
          <w:szCs w:val="32"/>
        </w:rPr>
      </w:pPr>
    </w:p>
    <w:p w:rsidR="00A71068" w:rsidRDefault="004175D6">
      <w:pPr>
        <w:spacing w:line="560" w:lineRule="exact"/>
        <w:ind w:firstLineChars="200" w:firstLine="64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lastRenderedPageBreak/>
        <w:t xml:space="preserve">二、企业重点经营情况 </w:t>
      </w:r>
    </w:p>
    <w:p w:rsidR="00A71068" w:rsidRDefault="004175D6">
      <w:pPr>
        <w:spacing w:line="560" w:lineRule="exact"/>
        <w:ind w:firstLine="641"/>
        <w:textAlignment w:val="baseline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2022年，天宇国际根据集团“运贸一体化”战略布局，将强化风控、稳健发展作为企业重点,分析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研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判市场趋势，积极拓展业务渠道，加强信息化建设，确定了“精耕石油焦业务、延伸新能源市场、打造</w:t>
      </w:r>
      <w:r>
        <w:rPr>
          <w:rFonts w:ascii="仿宋_GB2312" w:eastAsia="仿宋_GB2312" w:hAnsi="仿宋_GB2312" w:cs="仿宋_GB2312" w:hint="eastAsia"/>
          <w:sz w:val="32"/>
          <w:szCs w:val="32"/>
          <w:lang w:eastAsia="zh-Hans"/>
        </w:rPr>
        <w:t>全流程</w:t>
      </w:r>
      <w:r>
        <w:rPr>
          <w:rFonts w:ascii="仿宋_GB2312" w:eastAsia="仿宋_GB2312" w:hAnsi="仿宋_GB2312" w:cs="仿宋_GB2312" w:hint="eastAsia"/>
          <w:sz w:val="32"/>
          <w:szCs w:val="32"/>
        </w:rPr>
        <w:t>风控体系、深挖潜在业务效益”的工作思路。</w:t>
      </w:r>
    </w:p>
    <w:p w:rsidR="00A71068" w:rsidRDefault="004175D6">
      <w:pPr>
        <w:spacing w:line="560" w:lineRule="exact"/>
        <w:textAlignment w:val="baseline"/>
        <w:rPr>
          <w:rFonts w:ascii="仿宋_GB2312" w:eastAsia="仿宋_GB2312" w:cs="Times New Roman"/>
          <w:sz w:val="32"/>
          <w:szCs w:val="32"/>
        </w:rPr>
      </w:pPr>
      <w:r>
        <w:rPr>
          <w:rFonts w:ascii="仿宋_GB2312" w:eastAsia="仿宋_GB2312" w:cs="宋体" w:hint="eastAsia"/>
          <w:sz w:val="32"/>
          <w:szCs w:val="32"/>
        </w:rPr>
        <w:t>目前经营范围已涵盖能源化工、建材、有色金属、工业品、农产品、平行进口车等贸易业务，已</w:t>
      </w:r>
      <w:r>
        <w:rPr>
          <w:rFonts w:ascii="仿宋_GB2312" w:eastAsia="仿宋_GB2312" w:hint="eastAsia"/>
          <w:sz w:val="32"/>
          <w:szCs w:val="32"/>
        </w:rPr>
        <w:t>成为集团公司产业转型升级的重要平台之一。</w:t>
      </w:r>
    </w:p>
    <w:p w:rsidR="00A71068" w:rsidRDefault="004175D6">
      <w:pPr>
        <w:spacing w:line="560" w:lineRule="exact"/>
        <w:ind w:firstLineChars="200" w:firstLine="643"/>
        <w:rPr>
          <w:rFonts w:ascii="楷体_GB2312" w:eastAsia="楷体_GB2312" w:hAnsiTheme="minorEastAsia"/>
          <w:color w:val="000000"/>
          <w:sz w:val="32"/>
          <w:szCs w:val="32"/>
          <w:shd w:val="clear" w:color="auto" w:fill="FFFFFF"/>
        </w:rPr>
      </w:pPr>
      <w:r>
        <w:rPr>
          <w:rFonts w:ascii="楷体_GB2312" w:eastAsia="楷体_GB2312" w:hAnsiTheme="minorEastAsia" w:hint="eastAsia"/>
          <w:b/>
          <w:bCs/>
          <w:color w:val="000000" w:themeColor="text1"/>
          <w:sz w:val="32"/>
          <w:szCs w:val="32"/>
        </w:rPr>
        <w:t>一是</w:t>
      </w:r>
      <w:r>
        <w:rPr>
          <w:rFonts w:ascii="仿宋_GB2312" w:eastAsia="仿宋_GB2312" w:hint="eastAsia"/>
          <w:color w:val="000000" w:themeColor="text1"/>
          <w:sz w:val="32"/>
          <w:szCs w:val="32"/>
          <w:lang w:eastAsia="zh-Hans"/>
        </w:rPr>
        <w:t>依托</w:t>
      </w:r>
      <w:proofErr w:type="gramStart"/>
      <w:r>
        <w:rPr>
          <w:rFonts w:ascii="仿宋_GB2312" w:eastAsia="仿宋_GB2312" w:hint="eastAsia"/>
          <w:color w:val="000000" w:themeColor="text1"/>
          <w:sz w:val="32"/>
          <w:szCs w:val="32"/>
          <w:lang w:eastAsia="zh-Hans"/>
        </w:rPr>
        <w:t>山东地炼产能</w:t>
      </w:r>
      <w:proofErr w:type="gramEnd"/>
      <w:r>
        <w:rPr>
          <w:rFonts w:ascii="仿宋_GB2312" w:eastAsia="仿宋_GB2312" w:hint="eastAsia"/>
          <w:color w:val="000000" w:themeColor="text1"/>
          <w:sz w:val="32"/>
          <w:szCs w:val="32"/>
          <w:lang w:eastAsia="zh-Hans"/>
        </w:rPr>
        <w:t>优势以及日照港进口焦集散地区位优势</w:t>
      </w:r>
      <w:r>
        <w:rPr>
          <w:rFonts w:ascii="仿宋_GB2312" w:eastAsia="仿宋_GB2312"/>
          <w:color w:val="000000" w:themeColor="text1"/>
          <w:sz w:val="32"/>
          <w:szCs w:val="32"/>
          <w:lang w:eastAsia="zh-Hans"/>
        </w:rPr>
        <w:t>，</w:t>
      </w:r>
      <w:r>
        <w:rPr>
          <w:rFonts w:ascii="仿宋_GB2312" w:eastAsia="仿宋_GB2312" w:hint="eastAsia"/>
          <w:color w:val="000000" w:themeColor="text1"/>
          <w:sz w:val="32"/>
          <w:szCs w:val="32"/>
        </w:rPr>
        <w:t>积极切入产业源头，深入研究</w:t>
      </w:r>
      <w:r>
        <w:rPr>
          <w:rFonts w:ascii="仿宋_GB2312" w:eastAsia="仿宋_GB2312" w:hint="eastAsia"/>
          <w:color w:val="000000" w:themeColor="text1"/>
          <w:sz w:val="32"/>
          <w:szCs w:val="32"/>
          <w:lang w:eastAsia="zh-Hans"/>
        </w:rPr>
        <w:t>国内</w:t>
      </w:r>
      <w:r>
        <w:rPr>
          <w:rFonts w:ascii="仿宋_GB2312" w:eastAsia="仿宋_GB2312" w:hint="eastAsia"/>
          <w:color w:val="000000" w:themeColor="text1"/>
          <w:sz w:val="32"/>
          <w:szCs w:val="32"/>
        </w:rPr>
        <w:t>产业链上下游业务，</w:t>
      </w:r>
      <w:r>
        <w:rPr>
          <w:rFonts w:ascii="仿宋_GB2312" w:eastAsia="仿宋_GB2312" w:hint="eastAsia"/>
          <w:color w:val="000000" w:themeColor="text1"/>
          <w:sz w:val="32"/>
          <w:szCs w:val="32"/>
          <w:lang w:eastAsia="zh-Hans"/>
        </w:rPr>
        <w:t>与省内各大地炼厂、港口</w:t>
      </w:r>
      <w:r>
        <w:rPr>
          <w:rFonts w:ascii="仿宋_GB2312" w:eastAsia="仿宋_GB2312" w:hint="eastAsia"/>
          <w:color w:val="000000" w:themeColor="text1"/>
          <w:sz w:val="32"/>
          <w:szCs w:val="32"/>
        </w:rPr>
        <w:t>及山东河南等地大型碳素厂</w:t>
      </w:r>
      <w:r>
        <w:rPr>
          <w:rFonts w:ascii="仿宋_GB2312" w:eastAsia="仿宋_GB2312" w:hint="eastAsia"/>
          <w:color w:val="000000" w:themeColor="text1"/>
          <w:sz w:val="32"/>
          <w:szCs w:val="32"/>
          <w:lang w:eastAsia="zh-Hans"/>
        </w:rPr>
        <w:t>建立稳定合作关系，</w:t>
      </w:r>
      <w:r>
        <w:rPr>
          <w:rFonts w:ascii="仿宋_GB2312" w:eastAsia="仿宋_GB2312" w:hint="eastAsia"/>
          <w:color w:val="000000" w:themeColor="text1"/>
          <w:sz w:val="32"/>
          <w:szCs w:val="32"/>
        </w:rPr>
        <w:t>将传统贸易模式延伸至采购+加工+销售</w:t>
      </w:r>
      <w:r>
        <w:rPr>
          <w:rFonts w:ascii="仿宋_GB2312" w:eastAsia="仿宋_GB2312"/>
          <w:color w:val="000000" w:themeColor="text1"/>
          <w:sz w:val="32"/>
          <w:szCs w:val="32"/>
        </w:rPr>
        <w:t>，</w:t>
      </w:r>
      <w:r>
        <w:rPr>
          <w:rFonts w:ascii="仿宋_GB2312" w:eastAsia="仿宋_GB2312" w:hint="eastAsia"/>
          <w:color w:val="000000" w:themeColor="text1"/>
          <w:sz w:val="32"/>
          <w:szCs w:val="32"/>
          <w:lang w:eastAsia="zh-Hans"/>
        </w:rPr>
        <w:t>由天宇国际安排物流运输至国内大型铝厂</w:t>
      </w:r>
      <w:r>
        <w:rPr>
          <w:rFonts w:ascii="楷体_GB2312" w:eastAsia="楷体_GB2312" w:hAnsiTheme="minorEastAsia" w:hint="eastAsia"/>
          <w:bCs/>
          <w:color w:val="000000" w:themeColor="text1"/>
          <w:sz w:val="32"/>
          <w:szCs w:val="32"/>
        </w:rPr>
        <w:t>。</w:t>
      </w:r>
    </w:p>
    <w:p w:rsidR="00A71068" w:rsidRDefault="004175D6">
      <w:pPr>
        <w:spacing w:line="560" w:lineRule="exact"/>
        <w:ind w:firstLineChars="200" w:firstLine="643"/>
        <w:rPr>
          <w:rFonts w:ascii="楷体_GB2312" w:eastAsia="楷体_GB2312" w:hAnsiTheme="minorEastAsia"/>
          <w:color w:val="000000"/>
          <w:sz w:val="32"/>
          <w:szCs w:val="32"/>
          <w:shd w:val="clear" w:color="auto" w:fill="FFFFFF"/>
        </w:rPr>
      </w:pPr>
      <w:r>
        <w:rPr>
          <w:rFonts w:ascii="楷体_GB2312" w:eastAsia="楷体_GB2312" w:hAnsiTheme="minorEastAsia" w:hint="eastAsia"/>
          <w:b/>
          <w:color w:val="000000"/>
          <w:sz w:val="32"/>
          <w:szCs w:val="32"/>
          <w:shd w:val="clear" w:color="auto" w:fill="FFFFFF"/>
        </w:rPr>
        <w:t>二是</w:t>
      </w:r>
      <w:r>
        <w:rPr>
          <w:rFonts w:ascii="仿宋_GB2312" w:eastAsia="仿宋_GB2312" w:hint="eastAsia"/>
          <w:color w:val="000000" w:themeColor="text1"/>
          <w:sz w:val="32"/>
          <w:szCs w:val="32"/>
        </w:rPr>
        <w:t>打通国外炼厂、贸易商货源渠道，以代理进口后转委托开证方式小单试做，稳步推进进口采购业务</w:t>
      </w:r>
      <w:r>
        <w:rPr>
          <w:rFonts w:ascii="仿宋_GB2312" w:eastAsia="仿宋_GB2312"/>
          <w:color w:val="000000" w:themeColor="text1"/>
          <w:sz w:val="32"/>
          <w:szCs w:val="32"/>
        </w:rPr>
        <w:t>，</w:t>
      </w:r>
      <w:r>
        <w:rPr>
          <w:rFonts w:ascii="仿宋_GB2312" w:eastAsia="仿宋_GB2312" w:hint="eastAsia"/>
          <w:color w:val="000000" w:themeColor="text1"/>
          <w:sz w:val="32"/>
          <w:szCs w:val="32"/>
          <w:lang w:eastAsia="zh-Hans"/>
        </w:rPr>
        <w:t>根据不同国家石油焦指标匹配下游</w:t>
      </w:r>
      <w:r>
        <w:rPr>
          <w:rFonts w:ascii="仿宋_GB2312" w:eastAsia="仿宋_GB2312" w:hint="eastAsia"/>
          <w:color w:val="000000" w:themeColor="text1"/>
          <w:sz w:val="32"/>
          <w:szCs w:val="32"/>
        </w:rPr>
        <w:t>不同</w:t>
      </w:r>
      <w:r>
        <w:rPr>
          <w:rFonts w:ascii="仿宋_GB2312" w:eastAsia="仿宋_GB2312" w:hint="eastAsia"/>
          <w:color w:val="000000" w:themeColor="text1"/>
          <w:sz w:val="32"/>
          <w:szCs w:val="32"/>
          <w:lang w:eastAsia="zh-Hans"/>
        </w:rPr>
        <w:t>客户需求</w:t>
      </w:r>
      <w:r>
        <w:rPr>
          <w:rFonts w:ascii="仿宋_GB2312" w:eastAsia="仿宋_GB2312"/>
          <w:color w:val="000000" w:themeColor="text1"/>
          <w:sz w:val="32"/>
          <w:szCs w:val="32"/>
          <w:lang w:eastAsia="zh-Hans"/>
        </w:rPr>
        <w:t>，</w:t>
      </w:r>
      <w:r>
        <w:rPr>
          <w:rFonts w:ascii="仿宋_GB2312" w:eastAsia="仿宋_GB2312" w:hint="eastAsia"/>
          <w:color w:val="000000" w:themeColor="text1"/>
          <w:sz w:val="32"/>
          <w:szCs w:val="32"/>
        </w:rPr>
        <w:t>实现业务稳健拓展延伸</w:t>
      </w:r>
      <w:r>
        <w:rPr>
          <w:rFonts w:ascii="楷体_GB2312" w:eastAsia="楷体_GB2312" w:hAnsiTheme="minorEastAsia" w:hint="eastAsia"/>
          <w:color w:val="000000"/>
          <w:sz w:val="32"/>
          <w:szCs w:val="32"/>
          <w:shd w:val="clear" w:color="auto" w:fill="FFFFFF"/>
        </w:rPr>
        <w:t>。</w:t>
      </w:r>
    </w:p>
    <w:p w:rsidR="00A71068" w:rsidRDefault="004175D6" w:rsidP="00E05D77">
      <w:pPr>
        <w:pStyle w:val="a7"/>
        <w:spacing w:line="560" w:lineRule="exact"/>
        <w:ind w:firstLine="643"/>
        <w:jc w:val="left"/>
        <w:rPr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三是</w:t>
      </w:r>
      <w:r>
        <w:rPr>
          <w:rFonts w:ascii="仿宋_GB2312" w:eastAsia="仿宋_GB2312" w:hAnsi="仿宋_GB2312" w:cs="仿宋_GB2312" w:hint="eastAsia"/>
          <w:sz w:val="32"/>
          <w:szCs w:val="32"/>
        </w:rPr>
        <w:t>加强信息化建设，积极构建“智慧天宇”管理模式，公司</w:t>
      </w:r>
      <w:r>
        <w:rPr>
          <w:rFonts w:ascii="仿宋_GB2312" w:eastAsia="仿宋_GB2312" w:hAnsi="仿宋_GB2312" w:cs="仿宋_GB2312"/>
          <w:sz w:val="32"/>
          <w:szCs w:val="32"/>
        </w:rPr>
        <w:t>强化数据驱动、集成创新，建立业务流程管理系统（简称BPM），</w:t>
      </w:r>
      <w:r>
        <w:rPr>
          <w:rFonts w:ascii="仿宋_GB2312" w:eastAsia="仿宋_GB2312" w:hAnsi="仿宋_GB2312" w:cs="仿宋_GB2312" w:hint="eastAsia"/>
          <w:sz w:val="32"/>
          <w:szCs w:val="32"/>
        </w:rPr>
        <w:t>通过该系统对公司日常行政办公审批、合同状态管理、履约进度管理、供应商管理、合同数据分析等进行全流程管理，切实提升内部运营效率，有效降低公司运营成本，为公司数字化转型迈出了坚实的一步。</w:t>
      </w:r>
    </w:p>
    <w:p w:rsidR="00A71068" w:rsidRDefault="004175D6">
      <w:pPr>
        <w:spacing w:line="560" w:lineRule="exact"/>
        <w:ind w:firstLineChars="200" w:firstLine="643"/>
        <w:rPr>
          <w:rFonts w:ascii="楷体_GB2312" w:eastAsia="仿宋_GB2312" w:hAnsiTheme="minorEastAsia"/>
          <w:sz w:val="32"/>
          <w:szCs w:val="32"/>
        </w:rPr>
      </w:pPr>
      <w:r>
        <w:rPr>
          <w:rFonts w:ascii="楷体_GB2312" w:eastAsia="楷体_GB2312" w:hAnsiTheme="minorEastAsia" w:hint="eastAsia"/>
          <w:b/>
          <w:color w:val="000000"/>
          <w:sz w:val="32"/>
          <w:szCs w:val="32"/>
          <w:shd w:val="clear" w:color="auto" w:fill="FFFFFF"/>
        </w:rPr>
        <w:t>四是</w:t>
      </w:r>
      <w:r>
        <w:rPr>
          <w:rFonts w:ascii="仿宋_GB2312" w:eastAsia="仿宋_GB2312" w:hAnsi="仿宋_GB2312" w:cs="仿宋_GB2312" w:hint="eastAsia"/>
          <w:bCs/>
          <w:color w:val="000000"/>
          <w:sz w:val="32"/>
          <w:szCs w:val="32"/>
          <w:shd w:val="clear" w:color="auto" w:fill="FFFFFF"/>
        </w:rPr>
        <w:t>继续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完善</w:t>
      </w:r>
      <w:r>
        <w:rPr>
          <w:rFonts w:ascii="仿宋_GB2312" w:eastAsia="仿宋_GB2312" w:hAnsi="仿宋_GB2312" w:cs="仿宋_GB2312" w:hint="eastAsia"/>
          <w:sz w:val="32"/>
          <w:szCs w:val="32"/>
        </w:rPr>
        <w:t>行政管理制度、风险管理体系和财务管理模式，夯实基础，加强管控，严控规模，及时完善制度，堵塞漏洞，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持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lastRenderedPageBreak/>
        <w:t>续</w:t>
      </w:r>
      <w:r>
        <w:rPr>
          <w:rFonts w:ascii="仿宋_GB2312" w:eastAsia="仿宋_GB2312" w:hAnsi="仿宋_GB2312" w:cs="仿宋_GB2312" w:hint="eastAsia"/>
          <w:sz w:val="32"/>
          <w:szCs w:val="32"/>
        </w:rPr>
        <w:t>完善对贸易、物流、加工、销售、回款</w:t>
      </w:r>
      <w:r>
        <w:rPr>
          <w:rFonts w:ascii="仿宋_GB2312" w:eastAsia="仿宋_GB2312" w:hAnsi="仿宋_GB2312" w:cs="仿宋_GB2312" w:hint="eastAsia"/>
          <w:sz w:val="32"/>
          <w:szCs w:val="32"/>
          <w:lang w:eastAsia="zh-Hans"/>
        </w:rPr>
        <w:t>五个</w:t>
      </w:r>
      <w:r>
        <w:rPr>
          <w:rFonts w:ascii="仿宋_GB2312" w:eastAsia="仿宋_GB2312" w:hAnsi="仿宋_GB2312" w:cs="仿宋_GB2312" w:hint="eastAsia"/>
          <w:sz w:val="32"/>
          <w:szCs w:val="32"/>
        </w:rPr>
        <w:t>环节，实现了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管理规范化、业务流程化，</w:t>
      </w:r>
      <w:r>
        <w:rPr>
          <w:rFonts w:ascii="仿宋_GB2312" w:eastAsia="仿宋_GB2312" w:hAnsi="仿宋_GB2312" w:cs="仿宋_GB2312" w:hint="eastAsia"/>
          <w:sz w:val="32"/>
          <w:szCs w:val="32"/>
        </w:rPr>
        <w:t>稳步增强公司发展动力。</w:t>
      </w:r>
    </w:p>
    <w:p w:rsidR="00A71068" w:rsidRDefault="004175D6">
      <w:pPr>
        <w:spacing w:line="560" w:lineRule="exact"/>
        <w:ind w:firstLineChars="200" w:firstLine="64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 xml:space="preserve">三、公司重大事项 </w:t>
      </w:r>
    </w:p>
    <w:p w:rsidR="00A71068" w:rsidRDefault="004175D6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公司无重大经营事项发生</w:t>
      </w:r>
      <w:r w:rsidR="00E05D77"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:rsidR="00A71068" w:rsidRDefault="004175D6">
      <w:pPr>
        <w:spacing w:line="560" w:lineRule="exact"/>
        <w:ind w:firstLineChars="200" w:firstLine="64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四、其他按照法律法规应当公开的信息</w:t>
      </w:r>
    </w:p>
    <w:p w:rsidR="00A71068" w:rsidRDefault="00E05D77" w:rsidP="00E05D77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无。</w:t>
      </w:r>
    </w:p>
    <w:sectPr w:rsidR="00A71068">
      <w:pgSz w:w="11906" w:h="16838"/>
      <w:pgMar w:top="1588" w:right="1418" w:bottom="1701" w:left="147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91537" w:rsidRDefault="00E91537" w:rsidP="00E05D77">
      <w:r>
        <w:separator/>
      </w:r>
    </w:p>
  </w:endnote>
  <w:endnote w:type="continuationSeparator" w:id="0">
    <w:p w:rsidR="00E91537" w:rsidRDefault="00E91537" w:rsidP="00E05D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91537" w:rsidRDefault="00E91537" w:rsidP="00E05D77">
      <w:r>
        <w:separator/>
      </w:r>
    </w:p>
  </w:footnote>
  <w:footnote w:type="continuationSeparator" w:id="0">
    <w:p w:rsidR="00E91537" w:rsidRDefault="00E91537" w:rsidP="00E05D7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 strokecolor="white">
      <v:fill color="white"/>
      <v:stroke color="white" weight="3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zAzZGIyZTAxOGM4NTExZjU2MDM3NDRmOWNhMjBmN2UifQ=="/>
  </w:docVars>
  <w:rsids>
    <w:rsidRoot w:val="00114EF3"/>
    <w:rsid w:val="00023B62"/>
    <w:rsid w:val="0006570D"/>
    <w:rsid w:val="00085421"/>
    <w:rsid w:val="000B4C48"/>
    <w:rsid w:val="000E2CEB"/>
    <w:rsid w:val="00114EF3"/>
    <w:rsid w:val="001A35C9"/>
    <w:rsid w:val="00232379"/>
    <w:rsid w:val="00303237"/>
    <w:rsid w:val="003226CA"/>
    <w:rsid w:val="00347A42"/>
    <w:rsid w:val="003D5C52"/>
    <w:rsid w:val="004175D6"/>
    <w:rsid w:val="004F0080"/>
    <w:rsid w:val="005A5F52"/>
    <w:rsid w:val="005F7545"/>
    <w:rsid w:val="00695B8D"/>
    <w:rsid w:val="006E2E84"/>
    <w:rsid w:val="007678E6"/>
    <w:rsid w:val="007862D3"/>
    <w:rsid w:val="007D6EA6"/>
    <w:rsid w:val="008C1F8F"/>
    <w:rsid w:val="00916FC4"/>
    <w:rsid w:val="00950A57"/>
    <w:rsid w:val="00960C08"/>
    <w:rsid w:val="00A71068"/>
    <w:rsid w:val="00A814CB"/>
    <w:rsid w:val="00AB787A"/>
    <w:rsid w:val="00AD1C1E"/>
    <w:rsid w:val="00C60734"/>
    <w:rsid w:val="00E05D77"/>
    <w:rsid w:val="00E73384"/>
    <w:rsid w:val="00E91537"/>
    <w:rsid w:val="00F361F9"/>
    <w:rsid w:val="00F47A10"/>
    <w:rsid w:val="00F53E56"/>
    <w:rsid w:val="00F663CD"/>
    <w:rsid w:val="16286360"/>
    <w:rsid w:val="16F84246"/>
    <w:rsid w:val="51613DFC"/>
    <w:rsid w:val="58B008E9"/>
    <w:rsid w:val="59E97375"/>
    <w:rsid w:val="729645DE"/>
    <w:rsid w:val="7C0719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 strokecolor="white">
      <v:fill color="white"/>
      <v:stroke color="white" weight="3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" w:semiHidden="0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uiPriority w:val="99"/>
    <w:qFormat/>
    <w:pPr>
      <w:spacing w:after="120"/>
    </w:pPr>
  </w:style>
  <w:style w:type="paragraph" w:styleId="a4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1"/>
    <w:link w:val="a6"/>
    <w:uiPriority w:val="99"/>
    <w:rPr>
      <w:sz w:val="18"/>
      <w:szCs w:val="18"/>
    </w:rPr>
  </w:style>
  <w:style w:type="character" w:customStyle="1" w:styleId="Char0">
    <w:name w:val="页脚 Char"/>
    <w:basedOn w:val="a1"/>
    <w:link w:val="a5"/>
    <w:uiPriority w:val="99"/>
    <w:qFormat/>
    <w:rPr>
      <w:sz w:val="18"/>
      <w:szCs w:val="18"/>
    </w:rPr>
  </w:style>
  <w:style w:type="character" w:customStyle="1" w:styleId="Char">
    <w:name w:val="批注框文本 Char"/>
    <w:basedOn w:val="a1"/>
    <w:link w:val="a4"/>
    <w:uiPriority w:val="99"/>
    <w:semiHidden/>
    <w:qFormat/>
    <w:rPr>
      <w:sz w:val="18"/>
      <w:szCs w:val="18"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100"/>
    <customShpInfo spid="_x0000_s1098"/>
    <customShpInfo spid="_x0000_s1099"/>
    <customShpInfo spid="_x0000_s1101"/>
    <customShpInfo spid="_x0000_s1102"/>
    <customShpInfo spid="_x0000_s1103"/>
    <customShpInfo spid="_x0000_s1104"/>
    <customShpInfo spid="_x0000_s1105"/>
    <customShpInfo spid="_x0000_s1107"/>
    <customShpInfo spid="_x0000_s1108"/>
    <customShpInfo spid="_x0000_s1106"/>
    <customShpInfo spid="_x0000_s1109"/>
    <customShpInfo spid="_x0000_s1110"/>
    <customShpInfo spid="_x0000_s1111"/>
    <customShpInfo spid="_x0000_s1112"/>
    <customShpInfo spid="_x0000_s1113"/>
    <customShpInfo spid="_x0000_s1114"/>
    <customShpInfo spid="_x0000_s1120"/>
    <customShpInfo spid="_x0000_s1137"/>
    <customShpInfo spid="_x0000_s1115"/>
    <customShpInfo spid="_x0000_s1116"/>
    <customShpInfo spid="_x0000_s1118"/>
    <customShpInfo spid="_x0000_s1119"/>
    <customShpInfo spid="_x0000_s1121"/>
    <customShpInfo spid="_x0000_s1122"/>
    <customShpInfo spid="_x0000_s1123"/>
    <customShpInfo spid="_x0000_s1124"/>
    <customShpInfo spid="_x0000_s1125"/>
    <customShpInfo spid="_x0000_s1126"/>
    <customShpInfo spid="_x0000_s1127"/>
    <customShpInfo spid="_x0000_s1128"/>
    <customShpInfo spid="_x0000_s1129"/>
    <customShpInfo spid="_x0000_s1130"/>
    <customShpInfo spid="_x0000_s1131"/>
    <customShpInfo spid="_x0000_s1133"/>
    <customShpInfo spid="_x0000_s1132"/>
    <customShpInfo spid="_x0000_s1134"/>
    <customShpInfo spid="_x0000_s1135"/>
    <customShpInfo spid="_x0000_s113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766</Words>
  <Characters>774</Characters>
  <Application>Microsoft Office Word</Application>
  <DocSecurity>0</DocSecurity>
  <Lines>36</Lines>
  <Paragraphs>20</Paragraphs>
  <ScaleCrop>false</ScaleCrop>
  <Company>微软中国</Company>
  <LinksUpToDate>false</LinksUpToDate>
  <CharactersWithSpaces>1520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gyb1</dc:creator>
  <cp:lastModifiedBy>王静文</cp:lastModifiedBy>
  <cp:revision>21</cp:revision>
  <dcterms:created xsi:type="dcterms:W3CDTF">2022-01-27T09:17:00Z</dcterms:created>
  <dcterms:modified xsi:type="dcterms:W3CDTF">2023-06-19T07:59:00Z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9DAB14267C84428BBEF117ACFB09A546</vt:lpwstr>
  </property>
</Properties>
</file>